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E7" w:rsidRDefault="00C41EE7" w:rsidP="00C41EE7">
      <w:pPr>
        <w:autoSpaceDE w:val="0"/>
        <w:autoSpaceDN w:val="0"/>
        <w:adjustRightInd w:val="0"/>
        <w:rPr>
          <w:rFonts w:cs="AdvTTaf7f9f4f.B"/>
          <w:kern w:val="0"/>
          <w:szCs w:val="24"/>
        </w:rPr>
      </w:pPr>
      <w:r>
        <w:rPr>
          <w:b/>
          <w:szCs w:val="24"/>
        </w:rPr>
        <w:t>Supplement Table 1.</w:t>
      </w:r>
      <w:r>
        <w:rPr>
          <w:szCs w:val="24"/>
        </w:rPr>
        <w:t xml:space="preserve"> </w:t>
      </w:r>
      <w:r>
        <w:rPr>
          <w:rFonts w:cs="AdvTTaf7f9f4f.B"/>
          <w:kern w:val="0"/>
          <w:szCs w:val="24"/>
        </w:rPr>
        <w:t>Years of follow-ups</w:t>
      </w:r>
    </w:p>
    <w:tbl>
      <w:tblPr>
        <w:tblStyle w:val="a3"/>
        <w:tblW w:w="5000" w:type="pct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4"/>
        <w:gridCol w:w="1399"/>
        <w:gridCol w:w="3163"/>
      </w:tblGrid>
      <w:tr w:rsidR="00C41EE7" w:rsidTr="00C41EE7">
        <w:trPr>
          <w:jc w:val="center"/>
        </w:trPr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Group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Median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interquartile range</w:t>
            </w:r>
          </w:p>
        </w:tc>
      </w:tr>
      <w:tr w:rsidR="00C41EE7" w:rsidTr="00C41EE7">
        <w:trPr>
          <w:jc w:val="center"/>
        </w:trPr>
        <w:tc>
          <w:tcPr>
            <w:tcW w:w="22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ind w:left="200" w:hangingChars="100" w:hanging="200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With dementia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2.52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0.02-3.17</w:t>
            </w:r>
          </w:p>
        </w:tc>
      </w:tr>
      <w:tr w:rsidR="00C41EE7" w:rsidTr="00C41EE7">
        <w:trPr>
          <w:jc w:val="center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ind w:firstLineChars="100" w:firstLine="200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With medication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2.72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0.06-3.46</w:t>
            </w:r>
          </w:p>
        </w:tc>
      </w:tr>
      <w:tr w:rsidR="00C41EE7" w:rsidTr="00C41EE7">
        <w:trPr>
          <w:jc w:val="center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ind w:firstLineChars="100" w:firstLine="200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Without medication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2.13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0.01-2.98</w:t>
            </w:r>
          </w:p>
        </w:tc>
      </w:tr>
      <w:tr w:rsidR="00C41EE7" w:rsidTr="00C41EE7">
        <w:trPr>
          <w:jc w:val="center"/>
        </w:trPr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Without dementia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4.48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0.38-6.08</w:t>
            </w:r>
          </w:p>
        </w:tc>
      </w:tr>
      <w:tr w:rsidR="00C41EE7" w:rsidTr="00C41EE7">
        <w:trPr>
          <w:jc w:val="center"/>
        </w:trPr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Total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3.76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1EE7" w:rsidRDefault="00C41EE7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szCs w:val="24"/>
                <w:shd w:val="clear" w:color="auto" w:fill="FFFFFF"/>
              </w:rPr>
            </w:pPr>
            <w:r>
              <w:rPr>
                <w:rFonts w:eastAsia="標楷體" w:cs="新細明體"/>
                <w:szCs w:val="24"/>
                <w:shd w:val="clear" w:color="auto" w:fill="FFFFFF"/>
              </w:rPr>
              <w:t>0.20-5.05</w:t>
            </w:r>
          </w:p>
        </w:tc>
      </w:tr>
    </w:tbl>
    <w:p w:rsidR="007C21F1" w:rsidRDefault="007C21F1">
      <w:bookmarkStart w:id="0" w:name="_GoBack"/>
      <w:bookmarkEnd w:id="0"/>
    </w:p>
    <w:sectPr w:rsidR="007C21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af7f9f4f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E7"/>
    <w:rsid w:val="007C21F1"/>
    <w:rsid w:val="00C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71705-A954-435E-A98B-5A5D401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EE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NSTzeng</dc:creator>
  <cp:keywords/>
  <dc:description/>
  <cp:lastModifiedBy>NSTzeng</cp:lastModifiedBy>
  <cp:revision>1</cp:revision>
  <dcterms:created xsi:type="dcterms:W3CDTF">2017-09-14T09:03:00Z</dcterms:created>
  <dcterms:modified xsi:type="dcterms:W3CDTF">2017-09-14T09:03:00Z</dcterms:modified>
</cp:coreProperties>
</file>